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74" w:rsidRDefault="00416774" w:rsidP="00416774">
      <w:pPr>
        <w:spacing w:after="120" w:line="240" w:lineRule="auto"/>
        <w:jc w:val="center"/>
        <w:rPr>
          <w:b/>
          <w:bCs/>
          <w:sz w:val="28"/>
          <w:szCs w:val="28"/>
        </w:rPr>
      </w:pPr>
      <w:r>
        <w:rPr>
          <w:b/>
          <w:bCs/>
          <w:sz w:val="28"/>
          <w:szCs w:val="28"/>
        </w:rPr>
        <w:t>RELAZIONE FINALE DI MONITORAGGIO DEGLI OBIETTIVI STRATEGICI</w:t>
      </w:r>
    </w:p>
    <w:p w:rsidR="00416774" w:rsidRDefault="00416774" w:rsidP="00416774">
      <w:pPr>
        <w:spacing w:after="120" w:line="240" w:lineRule="auto"/>
        <w:jc w:val="center"/>
        <w:rPr>
          <w:b/>
          <w:bCs/>
          <w:sz w:val="28"/>
          <w:szCs w:val="28"/>
        </w:rPr>
      </w:pPr>
    </w:p>
    <w:tbl>
      <w:tblPr>
        <w:tblW w:w="154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0"/>
      </w:tblGrid>
      <w:tr w:rsidR="00416774" w:rsidTr="00547DDB">
        <w:trPr>
          <w:trHeight w:val="324"/>
        </w:trPr>
        <w:tc>
          <w:tcPr>
            <w:tcW w:w="15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774" w:rsidRDefault="00416774" w:rsidP="00547DDB">
            <w:pPr>
              <w:spacing w:after="0" w:line="240" w:lineRule="auto"/>
              <w:rPr>
                <w:b/>
                <w:bCs/>
                <w:sz w:val="20"/>
                <w:szCs w:val="20"/>
              </w:rPr>
            </w:pPr>
            <w:r>
              <w:rPr>
                <w:b/>
                <w:bCs/>
                <w:sz w:val="20"/>
                <w:szCs w:val="20"/>
              </w:rPr>
              <w:t>STRUTTURA:</w:t>
            </w:r>
            <w:r>
              <w:rPr>
                <w:sz w:val="20"/>
                <w:szCs w:val="20"/>
              </w:rPr>
              <w:t xml:space="preserve"> </w:t>
            </w:r>
            <w:r>
              <w:rPr>
                <w:rFonts w:ascii="Tahoma" w:hAnsi="Tahoma" w:cs="Tahoma"/>
                <w:sz w:val="19"/>
                <w:szCs w:val="19"/>
              </w:rPr>
              <w:t>UFFICIO PER IL PROGRAMMA DI GOVERNO</w:t>
            </w:r>
          </w:p>
        </w:tc>
      </w:tr>
    </w:tbl>
    <w:p w:rsidR="00416774" w:rsidRDefault="00416774" w:rsidP="00416774">
      <w:pPr>
        <w:tabs>
          <w:tab w:val="left" w:pos="10155"/>
        </w:tabs>
        <w:spacing w:after="120" w:line="240" w:lineRule="auto"/>
        <w:rPr>
          <w:b/>
          <w:bCs/>
          <w:sz w:val="28"/>
          <w:szCs w:val="28"/>
        </w:rPr>
      </w:pPr>
    </w:p>
    <w:p w:rsidR="00416774" w:rsidRDefault="00416774" w:rsidP="00416774">
      <w:pPr>
        <w:spacing w:after="120" w:line="240" w:lineRule="auto"/>
        <w:jc w:val="center"/>
        <w:rPr>
          <w:b/>
          <w:bCs/>
          <w:caps/>
        </w:rPr>
      </w:pPr>
      <w:r>
        <w:rPr>
          <w:b/>
          <w:bCs/>
        </w:rPr>
        <w:t xml:space="preserve">A - </w:t>
      </w:r>
      <w:r>
        <w:rPr>
          <w:b/>
          <w:bCs/>
          <w:caps/>
        </w:rPr>
        <w:t>Risultati raggiunti rispetto agli obiettivi programmati</w:t>
      </w:r>
    </w:p>
    <w:p w:rsidR="00416774" w:rsidRDefault="00416774" w:rsidP="00416774">
      <w:r>
        <w:t xml:space="preserve">UPG OB2 </w:t>
      </w:r>
    </w:p>
    <w:tbl>
      <w:tblPr>
        <w:tblW w:w="15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1"/>
        <w:gridCol w:w="2002"/>
        <w:gridCol w:w="2433"/>
        <w:gridCol w:w="2434"/>
        <w:gridCol w:w="1718"/>
        <w:gridCol w:w="1574"/>
        <w:gridCol w:w="2290"/>
        <w:gridCol w:w="1718"/>
      </w:tblGrid>
      <w:tr w:rsidR="00416774" w:rsidTr="00547DDB">
        <w:trPr>
          <w:trHeight w:val="878"/>
        </w:trPr>
        <w:tc>
          <w:tcPr>
            <w:tcW w:w="1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774" w:rsidRDefault="00416774" w:rsidP="00547DDB">
            <w:pPr>
              <w:spacing w:after="0" w:line="240" w:lineRule="auto"/>
              <w:jc w:val="center"/>
              <w:rPr>
                <w:b/>
                <w:bCs/>
                <w:sz w:val="20"/>
                <w:szCs w:val="20"/>
              </w:rPr>
            </w:pPr>
            <w:r>
              <w:rPr>
                <w:b/>
                <w:bCs/>
                <w:sz w:val="20"/>
                <w:szCs w:val="20"/>
              </w:rPr>
              <w:t>Responsabile dell’obiettivo strategico</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774" w:rsidRDefault="00416774" w:rsidP="00547DDB">
            <w:pPr>
              <w:spacing w:after="0" w:line="240" w:lineRule="auto"/>
              <w:jc w:val="center"/>
              <w:rPr>
                <w:b/>
                <w:bCs/>
                <w:sz w:val="20"/>
                <w:szCs w:val="20"/>
              </w:rPr>
            </w:pPr>
            <w:r>
              <w:rPr>
                <w:b/>
                <w:bCs/>
                <w:sz w:val="20"/>
                <w:szCs w:val="20"/>
              </w:rPr>
              <w:t>Area strategica</w:t>
            </w:r>
          </w:p>
          <w:p w:rsidR="00416774" w:rsidRDefault="00416774" w:rsidP="00547DDB">
            <w:pPr>
              <w:spacing w:after="0" w:line="240" w:lineRule="auto"/>
              <w:jc w:val="center"/>
              <w:rPr>
                <w:b/>
                <w:bCs/>
                <w:sz w:val="20"/>
                <w:szCs w:val="20"/>
              </w:rPr>
            </w:pPr>
            <w:r>
              <w:rPr>
                <w:b/>
                <w:bCs/>
                <w:sz w:val="20"/>
                <w:szCs w:val="20"/>
              </w:rPr>
              <w:t>Azioni per le politiche di settore</w:t>
            </w:r>
          </w:p>
        </w:tc>
        <w:tc>
          <w:tcPr>
            <w:tcW w:w="2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774" w:rsidRDefault="00416774" w:rsidP="00547DDB">
            <w:pPr>
              <w:spacing w:after="0" w:line="240" w:lineRule="auto"/>
              <w:jc w:val="center"/>
              <w:rPr>
                <w:b/>
                <w:bCs/>
                <w:sz w:val="20"/>
                <w:szCs w:val="20"/>
              </w:rPr>
            </w:pPr>
            <w:r>
              <w:rPr>
                <w:b/>
                <w:bCs/>
                <w:sz w:val="20"/>
                <w:szCs w:val="20"/>
              </w:rPr>
              <w:t>Obiettivo strategico</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774" w:rsidRDefault="00416774" w:rsidP="00547DDB">
            <w:pPr>
              <w:spacing w:after="0" w:line="240" w:lineRule="auto"/>
              <w:jc w:val="center"/>
              <w:rPr>
                <w:b/>
                <w:bCs/>
                <w:sz w:val="20"/>
                <w:szCs w:val="20"/>
              </w:rPr>
            </w:pPr>
            <w:r>
              <w:rPr>
                <w:b/>
                <w:bCs/>
                <w:sz w:val="20"/>
                <w:szCs w:val="20"/>
              </w:rPr>
              <w:t>Risultati attesi</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774" w:rsidRDefault="00416774" w:rsidP="00547DDB">
            <w:pPr>
              <w:spacing w:after="0" w:line="240" w:lineRule="auto"/>
              <w:jc w:val="center"/>
              <w:rPr>
                <w:b/>
                <w:bCs/>
                <w:sz w:val="20"/>
                <w:szCs w:val="20"/>
              </w:rPr>
            </w:pPr>
            <w:r>
              <w:rPr>
                <w:b/>
                <w:bCs/>
                <w:sz w:val="20"/>
                <w:szCs w:val="20"/>
              </w:rPr>
              <w:t>Indicatori</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774" w:rsidRDefault="00416774" w:rsidP="00547DDB">
            <w:pPr>
              <w:spacing w:after="0" w:line="240" w:lineRule="auto"/>
              <w:jc w:val="center"/>
              <w:rPr>
                <w:b/>
                <w:bCs/>
                <w:sz w:val="20"/>
                <w:szCs w:val="20"/>
              </w:rPr>
            </w:pPr>
            <w:r>
              <w:rPr>
                <w:b/>
                <w:bCs/>
                <w:sz w:val="20"/>
                <w:szCs w:val="20"/>
              </w:rPr>
              <w:t>Target</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774" w:rsidRDefault="00416774" w:rsidP="00547DDB">
            <w:pPr>
              <w:spacing w:after="0" w:line="240" w:lineRule="auto"/>
              <w:jc w:val="center"/>
              <w:rPr>
                <w:b/>
                <w:bCs/>
                <w:sz w:val="20"/>
                <w:szCs w:val="20"/>
              </w:rPr>
            </w:pPr>
            <w:r>
              <w:rPr>
                <w:b/>
                <w:bCs/>
                <w:sz w:val="20"/>
                <w:szCs w:val="20"/>
              </w:rPr>
              <w:t>Conseguimento Target</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774" w:rsidRDefault="00416774" w:rsidP="00547DDB">
            <w:pPr>
              <w:spacing w:after="0" w:line="240" w:lineRule="auto"/>
              <w:jc w:val="center"/>
              <w:rPr>
                <w:b/>
                <w:bCs/>
                <w:sz w:val="20"/>
                <w:szCs w:val="20"/>
              </w:rPr>
            </w:pPr>
            <w:r>
              <w:rPr>
                <w:b/>
                <w:bCs/>
                <w:sz w:val="20"/>
                <w:szCs w:val="20"/>
              </w:rPr>
              <w:t>Eventuali note</w:t>
            </w:r>
          </w:p>
        </w:tc>
      </w:tr>
      <w:tr w:rsidR="00416774" w:rsidTr="00547DDB">
        <w:trPr>
          <w:trHeight w:val="591"/>
        </w:trPr>
        <w:tc>
          <w:tcPr>
            <w:tcW w:w="1431" w:type="dxa"/>
            <w:tcBorders>
              <w:top w:val="single" w:sz="4" w:space="0" w:color="auto"/>
              <w:left w:val="single" w:sz="4" w:space="0" w:color="auto"/>
              <w:bottom w:val="single" w:sz="4" w:space="0" w:color="auto"/>
              <w:right w:val="single" w:sz="4" w:space="0" w:color="auto"/>
            </w:tcBorders>
            <w:shd w:val="clear" w:color="auto" w:fill="FFFF00"/>
            <w:vAlign w:val="center"/>
          </w:tcPr>
          <w:p w:rsidR="00416774" w:rsidRDefault="00416774" w:rsidP="00547DDB">
            <w:pPr>
              <w:spacing w:after="0" w:line="240" w:lineRule="auto"/>
              <w:rPr>
                <w:sz w:val="20"/>
                <w:szCs w:val="20"/>
              </w:rPr>
            </w:pPr>
            <w:r w:rsidRPr="00685E5F">
              <w:rPr>
                <w:rFonts w:ascii="Tahoma" w:hAnsi="Tahoma" w:cs="Tahoma"/>
                <w:sz w:val="19"/>
                <w:szCs w:val="19"/>
              </w:rPr>
              <w:t>Capo della str</w:t>
            </w:r>
            <w:r>
              <w:rPr>
                <w:rFonts w:ascii="Tahoma" w:hAnsi="Tahoma" w:cs="Tahoma"/>
                <w:sz w:val="19"/>
                <w:szCs w:val="19"/>
              </w:rPr>
              <w:t>u</w:t>
            </w:r>
            <w:r w:rsidRPr="00685E5F">
              <w:rPr>
                <w:rFonts w:ascii="Tahoma" w:hAnsi="Tahoma" w:cs="Tahoma"/>
                <w:sz w:val="19"/>
                <w:szCs w:val="19"/>
              </w:rPr>
              <w:t>ttura</w:t>
            </w:r>
          </w:p>
        </w:tc>
        <w:tc>
          <w:tcPr>
            <w:tcW w:w="2002" w:type="dxa"/>
            <w:tcBorders>
              <w:top w:val="single" w:sz="4" w:space="0" w:color="auto"/>
              <w:left w:val="single" w:sz="4" w:space="0" w:color="auto"/>
              <w:bottom w:val="single" w:sz="4" w:space="0" w:color="auto"/>
              <w:right w:val="single" w:sz="4" w:space="0" w:color="auto"/>
            </w:tcBorders>
            <w:shd w:val="clear" w:color="auto" w:fill="FFFF00"/>
            <w:vAlign w:val="center"/>
          </w:tcPr>
          <w:p w:rsidR="00416774" w:rsidRDefault="00416774" w:rsidP="00547DDB">
            <w:pPr>
              <w:spacing w:after="0" w:line="240" w:lineRule="auto"/>
              <w:rPr>
                <w:rFonts w:ascii="Tahoma" w:hAnsi="Tahoma" w:cs="Tahoma"/>
                <w:sz w:val="19"/>
                <w:szCs w:val="19"/>
              </w:rPr>
            </w:pPr>
            <w:r>
              <w:rPr>
                <w:rFonts w:ascii="Tahoma" w:hAnsi="Tahoma" w:cs="Tahoma"/>
                <w:sz w:val="19"/>
                <w:szCs w:val="19"/>
              </w:rPr>
              <w:t xml:space="preserve">Indirizzo programmatico </w:t>
            </w:r>
            <w:proofErr w:type="spellStart"/>
            <w:r>
              <w:rPr>
                <w:rFonts w:ascii="Tahoma" w:hAnsi="Tahoma" w:cs="Tahoma"/>
                <w:sz w:val="19"/>
                <w:szCs w:val="19"/>
              </w:rPr>
              <w:t>prioritaro</w:t>
            </w:r>
            <w:proofErr w:type="spellEnd"/>
            <w:r>
              <w:rPr>
                <w:rFonts w:ascii="Tahoma" w:hAnsi="Tahoma" w:cs="Tahoma"/>
                <w:sz w:val="19"/>
                <w:szCs w:val="19"/>
              </w:rPr>
              <w:t xml:space="preserve"> dell'Atto di indirizzo del Presidente del Consiglio dei Ministri </w:t>
            </w:r>
            <w:proofErr w:type="gramStart"/>
            <w:r>
              <w:rPr>
                <w:rFonts w:ascii="Tahoma" w:hAnsi="Tahoma" w:cs="Tahoma"/>
                <w:sz w:val="19"/>
                <w:szCs w:val="19"/>
              </w:rPr>
              <w:t>dell' 8</w:t>
            </w:r>
            <w:proofErr w:type="gramEnd"/>
            <w:r>
              <w:rPr>
                <w:rFonts w:ascii="Tahoma" w:hAnsi="Tahoma" w:cs="Tahoma"/>
                <w:sz w:val="19"/>
                <w:szCs w:val="19"/>
              </w:rPr>
              <w:t xml:space="preserve"> agosto 2017: g) "Attuazione delle riforme".</w:t>
            </w:r>
          </w:p>
          <w:p w:rsidR="00416774" w:rsidRDefault="00416774" w:rsidP="00547DDB">
            <w:pPr>
              <w:spacing w:after="0" w:line="240" w:lineRule="auto"/>
              <w:rPr>
                <w:sz w:val="20"/>
                <w:szCs w:val="20"/>
              </w:rPr>
            </w:pPr>
            <w:r>
              <w:rPr>
                <w:rFonts w:ascii="Tahoma" w:hAnsi="Tahoma" w:cs="Tahoma"/>
                <w:sz w:val="19"/>
                <w:szCs w:val="19"/>
              </w:rPr>
              <w:t>AREA STRATEGICA 4 - "Azioni per la modernizzazione dell'azione amministrativa,  la semplificazione e  digitalizzazione dei processi, il rafforzamento della prevenzione della corruzione e la promozione della trasparenza".</w:t>
            </w:r>
          </w:p>
        </w:tc>
        <w:tc>
          <w:tcPr>
            <w:tcW w:w="2433" w:type="dxa"/>
            <w:tcBorders>
              <w:top w:val="single" w:sz="4" w:space="0" w:color="auto"/>
              <w:left w:val="single" w:sz="4" w:space="0" w:color="auto"/>
              <w:bottom w:val="single" w:sz="4" w:space="0" w:color="auto"/>
              <w:right w:val="single" w:sz="4" w:space="0" w:color="auto"/>
            </w:tcBorders>
            <w:shd w:val="clear" w:color="auto" w:fill="FFFF00"/>
            <w:vAlign w:val="center"/>
          </w:tcPr>
          <w:p w:rsidR="00416774" w:rsidRDefault="00416774" w:rsidP="00547DDB">
            <w:pPr>
              <w:spacing w:after="0" w:line="240" w:lineRule="auto"/>
              <w:rPr>
                <w:sz w:val="20"/>
                <w:szCs w:val="20"/>
              </w:rPr>
            </w:pPr>
            <w:r>
              <w:rPr>
                <w:rFonts w:ascii="Tahoma" w:hAnsi="Tahoma" w:cs="Tahoma"/>
                <w:sz w:val="19"/>
                <w:szCs w:val="19"/>
              </w:rPr>
              <w:t>Consolidamento delle attività volte a supportare le funzioni di valutazione e controllo strategico nei Ministeri, delegate all’Autorità politica. Realizzazione di progetti e iniziative volti a sviluppare sistemi informativi per il monitoraggio e l’analisi delle direttive annuali ministeriali e ad elaborare e diffondere strumenti metodologici e di coordinamento in materia di valutazione e controllo strategico nei Ministeri.</w:t>
            </w:r>
          </w:p>
        </w:tc>
        <w:tc>
          <w:tcPr>
            <w:tcW w:w="2434" w:type="dxa"/>
            <w:tcBorders>
              <w:top w:val="single" w:sz="4" w:space="0" w:color="auto"/>
              <w:left w:val="single" w:sz="4" w:space="0" w:color="auto"/>
              <w:bottom w:val="single" w:sz="4" w:space="0" w:color="auto"/>
              <w:right w:val="single" w:sz="4" w:space="0" w:color="auto"/>
            </w:tcBorders>
            <w:shd w:val="clear" w:color="auto" w:fill="FFFF00"/>
            <w:vAlign w:val="center"/>
          </w:tcPr>
          <w:p w:rsidR="00416774" w:rsidRDefault="00416774" w:rsidP="00547DDB">
            <w:pPr>
              <w:spacing w:after="0" w:line="240" w:lineRule="auto"/>
              <w:rPr>
                <w:sz w:val="20"/>
                <w:szCs w:val="20"/>
              </w:rPr>
            </w:pPr>
            <w:r>
              <w:rPr>
                <w:rFonts w:ascii="Tahoma" w:hAnsi="Tahoma" w:cs="Tahoma"/>
                <w:sz w:val="19"/>
                <w:szCs w:val="19"/>
              </w:rPr>
              <w:t>Ottimizzazione e sistematizzazione dei processi in materia di programmazione, valutazione e controllo strategico nelle Amministrazioni centrali dello Stato.</w:t>
            </w:r>
          </w:p>
        </w:tc>
        <w:tc>
          <w:tcPr>
            <w:tcW w:w="1718" w:type="dxa"/>
            <w:tcBorders>
              <w:top w:val="single" w:sz="4" w:space="0" w:color="auto"/>
              <w:left w:val="single" w:sz="4" w:space="0" w:color="auto"/>
              <w:bottom w:val="single" w:sz="4" w:space="0" w:color="auto"/>
              <w:right w:val="single" w:sz="4" w:space="0" w:color="auto"/>
            </w:tcBorders>
            <w:shd w:val="clear" w:color="auto" w:fill="FFFF00"/>
            <w:vAlign w:val="center"/>
          </w:tcPr>
          <w:p w:rsidR="00416774" w:rsidRDefault="00416774" w:rsidP="00547DDB">
            <w:pPr>
              <w:spacing w:after="0" w:line="240" w:lineRule="auto"/>
              <w:rPr>
                <w:sz w:val="20"/>
                <w:szCs w:val="20"/>
              </w:rPr>
            </w:pPr>
            <w:r>
              <w:rPr>
                <w:rFonts w:ascii="Tahoma" w:hAnsi="Tahoma" w:cs="Tahoma"/>
                <w:sz w:val="19"/>
                <w:szCs w:val="19"/>
              </w:rPr>
              <w:t>Capacità di realizzare progetti/iniziative nell’ambito delle politiche di settore rispetto al totale dei progetti/iniziative programmati.</w:t>
            </w:r>
          </w:p>
        </w:tc>
        <w:tc>
          <w:tcPr>
            <w:tcW w:w="1574" w:type="dxa"/>
            <w:tcBorders>
              <w:top w:val="single" w:sz="4" w:space="0" w:color="auto"/>
              <w:left w:val="single" w:sz="4" w:space="0" w:color="auto"/>
              <w:bottom w:val="single" w:sz="4" w:space="0" w:color="auto"/>
              <w:right w:val="single" w:sz="4" w:space="0" w:color="auto"/>
            </w:tcBorders>
            <w:shd w:val="clear" w:color="auto" w:fill="FFFF00"/>
            <w:vAlign w:val="center"/>
          </w:tcPr>
          <w:p w:rsidR="00416774" w:rsidRDefault="00416774" w:rsidP="00547DDB">
            <w:pPr>
              <w:spacing w:after="0" w:line="240" w:lineRule="auto"/>
              <w:jc w:val="both"/>
              <w:rPr>
                <w:sz w:val="20"/>
                <w:szCs w:val="20"/>
              </w:rPr>
            </w:pPr>
            <w:r>
              <w:rPr>
                <w:rFonts w:ascii="Tahoma" w:hAnsi="Tahoma" w:cs="Tahoma"/>
                <w:sz w:val="19"/>
                <w:szCs w:val="19"/>
              </w:rPr>
              <w:t>100%</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416774" w:rsidRDefault="00416774" w:rsidP="00547DDB">
            <w:pPr>
              <w:spacing w:after="0" w:line="240" w:lineRule="auto"/>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160"/>
            </w:tblGrid>
            <w:tr w:rsidR="00416774" w:rsidRPr="00097122" w:rsidTr="00547DDB">
              <w:trPr>
                <w:trHeight w:val="3457"/>
              </w:trPr>
              <w:tc>
                <w:tcPr>
                  <w:tcW w:w="2160" w:type="dxa"/>
                </w:tcPr>
                <w:p w:rsidR="00416774" w:rsidRDefault="00416774" w:rsidP="00547DDB">
                  <w:pPr>
                    <w:autoSpaceDE w:val="0"/>
                    <w:autoSpaceDN w:val="0"/>
                    <w:adjustRightInd w:val="0"/>
                    <w:spacing w:after="0" w:line="240" w:lineRule="auto"/>
                    <w:rPr>
                      <w:rFonts w:ascii="Tahoma" w:hAnsi="Tahoma" w:cs="Tahoma"/>
                      <w:sz w:val="19"/>
                      <w:szCs w:val="19"/>
                    </w:rPr>
                  </w:pPr>
                  <w:r w:rsidRPr="00097122">
                    <w:rPr>
                      <w:rFonts w:ascii="Tahoma" w:eastAsiaTheme="minorHAnsi" w:hAnsi="Tahoma" w:cs="Tahoma"/>
                      <w:color w:val="000000"/>
                      <w:sz w:val="19"/>
                      <w:szCs w:val="19"/>
                    </w:rPr>
                    <w:t xml:space="preserve">Conseguito: </w:t>
                  </w:r>
                  <w:r>
                    <w:rPr>
                      <w:rFonts w:ascii="Tahoma" w:eastAsiaTheme="minorHAnsi" w:hAnsi="Tahoma" w:cs="Tahoma"/>
                      <w:color w:val="000000"/>
                      <w:sz w:val="19"/>
                      <w:szCs w:val="19"/>
                    </w:rPr>
                    <w:t xml:space="preserve">l’iniziativa programmata </w:t>
                  </w:r>
                  <w:r w:rsidRPr="00097122">
                    <w:rPr>
                      <w:rFonts w:ascii="Tahoma" w:eastAsiaTheme="minorHAnsi" w:hAnsi="Tahoma" w:cs="Tahoma"/>
                      <w:color w:val="000000"/>
                      <w:sz w:val="19"/>
                      <w:szCs w:val="19"/>
                    </w:rPr>
                    <w:t>sul</w:t>
                  </w:r>
                  <w:r>
                    <w:rPr>
                      <w:rFonts w:ascii="Tahoma" w:eastAsiaTheme="minorHAnsi" w:hAnsi="Tahoma" w:cs="Tahoma"/>
                      <w:color w:val="000000"/>
                      <w:sz w:val="19"/>
                      <w:szCs w:val="19"/>
                    </w:rPr>
                    <w:t xml:space="preserve">la base della Direttiva </w:t>
                  </w:r>
                  <w:r w:rsidRPr="00097122">
                    <w:rPr>
                      <w:rFonts w:ascii="Tahoma" w:eastAsiaTheme="minorHAnsi" w:hAnsi="Tahoma" w:cs="Tahoma"/>
                      <w:color w:val="000000"/>
                      <w:sz w:val="19"/>
                      <w:szCs w:val="19"/>
                    </w:rPr>
                    <w:t xml:space="preserve">dell’Autorità politica </w:t>
                  </w:r>
                  <w:r>
                    <w:rPr>
                      <w:rFonts w:ascii="Tahoma" w:eastAsiaTheme="minorHAnsi" w:hAnsi="Tahoma" w:cs="Tahoma"/>
                      <w:color w:val="000000"/>
                      <w:sz w:val="19"/>
                      <w:szCs w:val="19"/>
                    </w:rPr>
                    <w:t xml:space="preserve">è stata realizzata </w:t>
                  </w:r>
                  <w:r w:rsidRPr="00097122">
                    <w:rPr>
                      <w:rFonts w:ascii="Tahoma" w:eastAsiaTheme="minorHAnsi" w:hAnsi="Tahoma" w:cs="Tahoma"/>
                      <w:color w:val="000000"/>
                      <w:sz w:val="19"/>
                      <w:szCs w:val="19"/>
                    </w:rPr>
                    <w:t>nei tempi previsti (conseguimento</w:t>
                  </w:r>
                  <w:r>
                    <w:rPr>
                      <w:rFonts w:ascii="Tahoma" w:eastAsiaTheme="minorHAnsi" w:hAnsi="Tahoma" w:cs="Tahoma"/>
                      <w:color w:val="000000"/>
                      <w:sz w:val="19"/>
                      <w:szCs w:val="19"/>
                    </w:rPr>
                    <w:t xml:space="preserve"> target: 100%). In particolare : </w:t>
                  </w:r>
                  <w:r>
                    <w:rPr>
                      <w:rFonts w:ascii="Tahoma" w:eastAsiaTheme="minorHAnsi" w:hAnsi="Tahoma" w:cs="Tahoma"/>
                      <w:color w:val="000000"/>
                      <w:sz w:val="19"/>
                      <w:szCs w:val="19"/>
                    </w:rPr>
                    <w:br/>
                    <w:t xml:space="preserve">1) è stata effettuata la </w:t>
                  </w:r>
                  <w:r>
                    <w:rPr>
                      <w:rFonts w:ascii="Tahoma" w:hAnsi="Tahoma" w:cs="Tahoma"/>
                      <w:sz w:val="19"/>
                      <w:szCs w:val="19"/>
                    </w:rPr>
                    <w:t xml:space="preserve"> mappatura dei processi interni ed esterni propedeutico alla realizzazione di un efficace sistema informativo tra UPG, Ministeri e OIV ministeriali.</w:t>
                  </w:r>
                </w:p>
                <w:p w:rsidR="00416774" w:rsidRDefault="00416774" w:rsidP="00547DDB">
                  <w:pPr>
                    <w:autoSpaceDE w:val="0"/>
                    <w:autoSpaceDN w:val="0"/>
                    <w:adjustRightInd w:val="0"/>
                    <w:spacing w:after="0" w:line="240" w:lineRule="auto"/>
                    <w:rPr>
                      <w:rFonts w:ascii="Tahoma" w:hAnsi="Tahoma" w:cs="Tahoma"/>
                      <w:sz w:val="19"/>
                      <w:szCs w:val="19"/>
                    </w:rPr>
                  </w:pPr>
                  <w:r>
                    <w:rPr>
                      <w:rFonts w:ascii="Tahoma" w:hAnsi="Tahoma" w:cs="Tahoma"/>
                      <w:sz w:val="19"/>
                      <w:szCs w:val="19"/>
                    </w:rPr>
                    <w:t xml:space="preserve">2) elaborato ed adottato un meccanismo di valutazione riferito all’attività di controllo strategico, da utilizzare per l’analisi e la </w:t>
                  </w:r>
                  <w:r>
                    <w:rPr>
                      <w:rFonts w:ascii="Tahoma" w:hAnsi="Tahoma" w:cs="Tahoma"/>
                      <w:sz w:val="19"/>
                      <w:szCs w:val="19"/>
                    </w:rPr>
                    <w:lastRenderedPageBreak/>
                    <w:t>valutazione delle relazioni al Parlamento dei Ministeri ai sensi dell’art. 3, commi 68 e 69, della legge n. 244/2007;</w:t>
                  </w:r>
                </w:p>
                <w:p w:rsidR="00416774" w:rsidRDefault="00416774" w:rsidP="00547DDB">
                  <w:pPr>
                    <w:autoSpaceDE w:val="0"/>
                    <w:autoSpaceDN w:val="0"/>
                    <w:adjustRightInd w:val="0"/>
                    <w:spacing w:after="0" w:line="240" w:lineRule="auto"/>
                    <w:rPr>
                      <w:rFonts w:ascii="Tahoma" w:hAnsi="Tahoma" w:cs="Tahoma"/>
                      <w:sz w:val="19"/>
                      <w:szCs w:val="19"/>
                    </w:rPr>
                  </w:pPr>
                  <w:r>
                    <w:rPr>
                      <w:rFonts w:ascii="Tahoma" w:hAnsi="Tahoma" w:cs="Tahoma"/>
                      <w:sz w:val="19"/>
                      <w:szCs w:val="19"/>
                    </w:rPr>
                    <w:t>3) elaborato uno studio di fattibilità sull’ampliamento delle funzioni del sistema informativo MONITOR, in particolare per rendere più efficace il monitoraggio delle misure legislative ed il monitoraggio degli indicatori di bilancio comuni a tutti i Ministeri.</w:t>
                  </w:r>
                </w:p>
                <w:p w:rsidR="00416774" w:rsidRPr="00097122" w:rsidRDefault="00416774" w:rsidP="00547DDB">
                  <w:pPr>
                    <w:autoSpaceDE w:val="0"/>
                    <w:autoSpaceDN w:val="0"/>
                    <w:adjustRightInd w:val="0"/>
                    <w:spacing w:after="0" w:line="240" w:lineRule="auto"/>
                    <w:rPr>
                      <w:rFonts w:ascii="Tahoma" w:eastAsiaTheme="minorHAnsi" w:hAnsi="Tahoma" w:cs="Tahoma"/>
                      <w:color w:val="000000"/>
                      <w:sz w:val="19"/>
                      <w:szCs w:val="19"/>
                    </w:rPr>
                  </w:pPr>
                </w:p>
              </w:tc>
            </w:tr>
          </w:tbl>
          <w:p w:rsidR="00416774" w:rsidRDefault="00416774" w:rsidP="00547DDB">
            <w:pPr>
              <w:spacing w:after="0" w:line="240" w:lineRule="auto"/>
              <w:jc w:val="both"/>
              <w:rPr>
                <w:sz w:val="20"/>
                <w:szCs w:val="20"/>
              </w:rPr>
            </w:pPr>
            <w:r>
              <w:rPr>
                <w:rFonts w:ascii="Tahoma" w:hAnsi="Tahoma" w:cs="Tahoma"/>
                <w:sz w:val="19"/>
                <w:szCs w:val="19"/>
              </w:rPr>
              <w:lastRenderedPageBreak/>
              <w:t>I risultati sono stati trasmessi e compendiati in una relazione trasmessa all’autorità politica il 13 dicembre.</w:t>
            </w:r>
          </w:p>
          <w:p w:rsidR="00416774" w:rsidRDefault="00416774" w:rsidP="00547DDB">
            <w:pPr>
              <w:spacing w:after="0" w:line="240" w:lineRule="auto"/>
              <w:jc w:val="both"/>
              <w:rPr>
                <w:sz w:val="20"/>
                <w:szCs w:val="2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16774" w:rsidRDefault="00416774" w:rsidP="00547DDB">
            <w:pPr>
              <w:spacing w:after="0" w:line="240" w:lineRule="auto"/>
              <w:rPr>
                <w:sz w:val="20"/>
                <w:szCs w:val="20"/>
              </w:rPr>
            </w:pPr>
          </w:p>
        </w:tc>
      </w:tr>
    </w:tbl>
    <w:p w:rsidR="00A26017" w:rsidRDefault="00A26017">
      <w:bookmarkStart w:id="0" w:name="_GoBack"/>
      <w:bookmarkEnd w:id="0"/>
    </w:p>
    <w:sectPr w:rsidR="00A26017" w:rsidSect="00416774">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74"/>
    <w:rsid w:val="00416774"/>
    <w:rsid w:val="00A26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0AC1E-4C40-44A4-9783-CAE99DB7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6774"/>
    <w:pPr>
      <w:spacing w:after="200" w:line="276"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Varriale Giuseppe</dc:creator>
  <cp:keywords/>
  <dc:description/>
  <cp:lastModifiedBy>Varriale Giuseppe</cp:lastModifiedBy>
  <cp:revision>1</cp:revision>
  <dcterms:created xsi:type="dcterms:W3CDTF">2019-03-25T11:49:00Z</dcterms:created>
  <dcterms:modified xsi:type="dcterms:W3CDTF">2019-03-25T11:49:00Z</dcterms:modified>
</cp:coreProperties>
</file>